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3D709A" w:rsidRPr="006F4F21" w:rsidRDefault="005F3A7C" w:rsidP="006F4F21">
      <w:pPr>
        <w:spacing w:line="480" w:lineRule="auto"/>
        <w:jc w:val="center"/>
      </w:pPr>
      <w:r w:rsidRPr="006F4F21">
        <w:t>Stam</w:t>
      </w:r>
      <w:r w:rsidR="0037416D" w:rsidRPr="006F4F21">
        <w:t>bovsky V. Ackley and Ellis Real</w:t>
      </w:r>
      <w:r w:rsidRPr="006F4F21">
        <w:t>ty</w:t>
      </w:r>
    </w:p>
    <w:p w:rsidR="003D709A" w:rsidRPr="006F4F21" w:rsidRDefault="003D709A" w:rsidP="006F4F21">
      <w:pPr>
        <w:spacing w:line="480" w:lineRule="auto"/>
        <w:jc w:val="center"/>
      </w:pPr>
      <w:r w:rsidRPr="006F4F21">
        <w:t>Name</w:t>
      </w:r>
    </w:p>
    <w:p w:rsidR="003D709A" w:rsidRPr="006F4F21" w:rsidRDefault="003D709A" w:rsidP="006F4F21">
      <w:pPr>
        <w:spacing w:line="480" w:lineRule="auto"/>
        <w:jc w:val="center"/>
      </w:pPr>
      <w:r w:rsidRPr="006F4F21">
        <w:t>Institution</w:t>
      </w:r>
    </w:p>
    <w:p w:rsidR="003D709A" w:rsidRPr="006F4F21" w:rsidRDefault="003D709A" w:rsidP="006F4F21">
      <w:pPr>
        <w:spacing w:line="480" w:lineRule="auto"/>
        <w:jc w:val="center"/>
      </w:pPr>
      <w:r w:rsidRPr="006F4F21">
        <w:t xml:space="preserve">Date </w:t>
      </w: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6F4F21" w:rsidRPr="006F4F21" w:rsidRDefault="006F4F21" w:rsidP="006F4F21">
      <w:pPr>
        <w:pStyle w:val="NormalWeb"/>
        <w:spacing w:before="0" w:beforeAutospacing="0" w:after="0" w:afterAutospacing="0" w:line="480" w:lineRule="auto"/>
        <w:jc w:val="center"/>
        <w:rPr>
          <w:color w:val="1C1E29"/>
        </w:rPr>
      </w:pPr>
      <w:bookmarkStart w:id="0" w:name="_GoBack"/>
      <w:r w:rsidRPr="006F4F21">
        <w:rPr>
          <w:color w:val="1C1E29"/>
        </w:rPr>
        <w:lastRenderedPageBreak/>
        <w:t>Stambovsky V. Ackley and Ellis Realty</w:t>
      </w:r>
    </w:p>
    <w:p w:rsidR="006F4F21" w:rsidRPr="006F4F21" w:rsidRDefault="006F4F21" w:rsidP="006F4F21">
      <w:pPr>
        <w:pStyle w:val="NormalWeb"/>
        <w:spacing w:before="0" w:beforeAutospacing="0" w:after="0" w:afterAutospacing="0" w:line="480" w:lineRule="auto"/>
        <w:jc w:val="center"/>
        <w:rPr>
          <w:color w:val="1C1E29"/>
        </w:rPr>
      </w:pPr>
      <w:r w:rsidRPr="006F4F21">
        <w:rPr>
          <w:color w:val="1C1E29"/>
        </w:rPr>
        <w:t>Case Name: Jeffrey M. Stambovsky, Plaintiff, V. Helen V. Ackley et al., Defendants</w:t>
      </w:r>
    </w:p>
    <w:p w:rsidR="006F4F21" w:rsidRPr="006F4F21" w:rsidRDefault="006F4F21" w:rsidP="006F4F21">
      <w:pPr>
        <w:pStyle w:val="NormalWeb"/>
        <w:spacing w:before="0" w:beforeAutospacing="0" w:after="0" w:afterAutospacing="0" w:line="480" w:lineRule="auto"/>
        <w:jc w:val="center"/>
        <w:rPr>
          <w:color w:val="1C1E29"/>
        </w:rPr>
      </w:pPr>
      <w:r w:rsidRPr="006F4F21">
        <w:rPr>
          <w:color w:val="1C1E29"/>
        </w:rPr>
        <w:t>Parties: Stambovsky-Buyer, Plaintiff, against, Ackley and Ellis Reality, Defendants.</w:t>
      </w:r>
    </w:p>
    <w:p w:rsidR="006F4F21" w:rsidRPr="006F4F21" w:rsidRDefault="006F4F21" w:rsidP="006F4F21">
      <w:pPr>
        <w:pStyle w:val="NormalWeb"/>
        <w:spacing w:before="0" w:beforeAutospacing="0" w:after="0" w:afterAutospacing="0" w:line="480" w:lineRule="auto"/>
        <w:jc w:val="center"/>
        <w:rPr>
          <w:color w:val="1C1E29"/>
        </w:rPr>
      </w:pPr>
      <w:r w:rsidRPr="006F4F21">
        <w:rPr>
          <w:rStyle w:val="Strong"/>
          <w:color w:val="1C1E29"/>
        </w:rPr>
        <w:t>Facts</w:t>
      </w:r>
    </w:p>
    <w:p w:rsidR="006F4F21" w:rsidRPr="006F4F21" w:rsidRDefault="006F4F21" w:rsidP="006F4F21">
      <w:pPr>
        <w:pStyle w:val="NormalWeb"/>
        <w:spacing w:before="0" w:beforeAutospacing="0" w:after="0" w:afterAutospacing="0" w:line="480" w:lineRule="auto"/>
        <w:ind w:firstLine="720"/>
        <w:rPr>
          <w:color w:val="1C1E29"/>
        </w:rPr>
      </w:pPr>
      <w:r w:rsidRPr="006F4F21">
        <w:rPr>
          <w:color w:val="1C1E29"/>
        </w:rPr>
        <w:t xml:space="preserve">The Plaintiff was alarmed to discover that the house he had contracted to buy was widely reputed to be haunted by poltergeists. According to reports, Ackley and her family members had seen the poltergeists for the last 9 years and thus she misrepresented the property. The plaintiff sought legal redress to obtain rescission of the contract of sale which included $650,000 contract sale and 32,500 down payments (Ackley, 1991). The plaintiff argued that he would not have entered into a contract with the defendant if he was advised appropriately. He believed that because of the alleged poltergeists in the house, the resale and market value of the house was immensely reduced.  </w:t>
      </w:r>
    </w:p>
    <w:p w:rsidR="006F4F21" w:rsidRPr="006F4F21" w:rsidRDefault="006F4F21" w:rsidP="006F4F21">
      <w:pPr>
        <w:pStyle w:val="NormalWeb"/>
        <w:spacing w:before="0" w:beforeAutospacing="0" w:after="0" w:afterAutospacing="0" w:line="480" w:lineRule="auto"/>
        <w:jc w:val="center"/>
        <w:rPr>
          <w:color w:val="1C1E29"/>
        </w:rPr>
      </w:pPr>
      <w:r w:rsidRPr="006F4F21">
        <w:rPr>
          <w:rStyle w:val="Strong"/>
          <w:color w:val="1C1E29"/>
        </w:rPr>
        <w:t>Procedure</w:t>
      </w:r>
    </w:p>
    <w:p w:rsidR="006F4F21" w:rsidRPr="006F4F21" w:rsidRDefault="006F4F21" w:rsidP="006F4F21">
      <w:pPr>
        <w:pStyle w:val="NormalWeb"/>
        <w:spacing w:before="0" w:beforeAutospacing="0" w:after="0" w:afterAutospacing="0" w:line="480" w:lineRule="auto"/>
        <w:ind w:firstLine="720"/>
        <w:rPr>
          <w:color w:val="1C1E29"/>
        </w:rPr>
      </w:pPr>
      <w:r w:rsidRPr="006F4F21">
        <w:rPr>
          <w:color w:val="1C1E29"/>
        </w:rPr>
        <w:t>The New York Supreme Court dismissed the Plaintiff arguing that there was no possible remedy on the jurisdiction. The bizarre facts of Stambovsky V. Ackley and Ellis Reality, as revealed by the records, evidently guarantee a grant of equitable relief to the purchaser, who is not a local in the village of Nyack and therefore, cannot understand the folklores of the village (Ackley, 1991). However, the plaintiff repealed the case in the appellate division. After the review of the case, the Court ruled in favor of the plaintiff.</w:t>
      </w:r>
    </w:p>
    <w:p w:rsidR="006F4F21" w:rsidRPr="006F4F21" w:rsidRDefault="006F4F21" w:rsidP="006F4F21">
      <w:pPr>
        <w:pStyle w:val="NormalWeb"/>
        <w:spacing w:before="0" w:beforeAutospacing="0" w:after="0" w:afterAutospacing="0" w:line="480" w:lineRule="auto"/>
        <w:jc w:val="center"/>
        <w:rPr>
          <w:color w:val="1C1E29"/>
        </w:rPr>
      </w:pPr>
      <w:r w:rsidRPr="006F4F21">
        <w:rPr>
          <w:rStyle w:val="Strong"/>
          <w:color w:val="1C1E29"/>
        </w:rPr>
        <w:t>Issue</w:t>
      </w:r>
    </w:p>
    <w:p w:rsidR="006F4F21" w:rsidRPr="006F4F21" w:rsidRDefault="006F4F21" w:rsidP="006F4F21">
      <w:pPr>
        <w:pStyle w:val="NormalWeb"/>
        <w:spacing w:before="0" w:beforeAutospacing="0" w:after="0" w:afterAutospacing="0" w:line="480" w:lineRule="auto"/>
        <w:ind w:firstLine="720"/>
        <w:rPr>
          <w:color w:val="1C1E29"/>
        </w:rPr>
      </w:pPr>
      <w:r w:rsidRPr="006F4F21">
        <w:rPr>
          <w:color w:val="1C1E29"/>
        </w:rPr>
        <w:t xml:space="preserve">Jeffrey M. Stambovsky, Plaintiff, V. Helen V. Ackley et al. Defendants sprang the issue whether a buyer is allowed to recession of a sales contract in a scenario where all information influencing the value of a property being sold is not represented by the seller. The New York </w:t>
      </w:r>
      <w:r w:rsidRPr="006F4F21">
        <w:rPr>
          <w:color w:val="1C1E29"/>
        </w:rPr>
        <w:lastRenderedPageBreak/>
        <w:t xml:space="preserve">Appellate division declared that the Court adheres to the policy of caveat emptor which imposes that there is no duty upon the seller to provide any information of the property on sale unless there is a fiduciary or confidential relationship between the vendor and the purchaser (Ackley, 1991). In other words, Caveat emptor requires a buyer to do comprehensively assess the value and suitability of a property before entering into a contract. However, the Court argued that, although there were no applicable laws that would offer a remedy to the plaintiff, there were remedies on equity. </w:t>
      </w:r>
    </w:p>
    <w:p w:rsidR="006F4F21" w:rsidRPr="006F4F21" w:rsidRDefault="006F4F21" w:rsidP="006F4F21">
      <w:pPr>
        <w:pStyle w:val="NormalWeb"/>
        <w:spacing w:before="0" w:beforeAutospacing="0" w:after="0" w:afterAutospacing="0" w:line="480" w:lineRule="auto"/>
        <w:ind w:firstLine="720"/>
        <w:jc w:val="center"/>
        <w:rPr>
          <w:color w:val="1C1E29"/>
        </w:rPr>
      </w:pPr>
      <w:r w:rsidRPr="006F4F21">
        <w:rPr>
          <w:rStyle w:val="Strong"/>
          <w:color w:val="1C1E29"/>
        </w:rPr>
        <w:t>Holding</w:t>
      </w:r>
    </w:p>
    <w:p w:rsidR="006F4F21" w:rsidRPr="006F4F21" w:rsidRDefault="006F4F21" w:rsidP="006F4F21">
      <w:pPr>
        <w:pStyle w:val="NormalWeb"/>
        <w:spacing w:before="0" w:beforeAutospacing="0" w:after="0" w:afterAutospacing="0" w:line="480" w:lineRule="auto"/>
        <w:ind w:firstLine="720"/>
        <w:rPr>
          <w:color w:val="1C1E29"/>
        </w:rPr>
      </w:pPr>
      <w:r w:rsidRPr="006F4F21">
        <w:rPr>
          <w:color w:val="1C1E29"/>
        </w:rPr>
        <w:t xml:space="preserve">The case was determined by five Judges: Milonas, Ross, Rubin, Kassal, and Smith. The Main holding was that the vendor who had informed the general public about the poltergeists in the house that was on the verge of being sold was estopped to refute claims of existence of poltergeists in the property in question, thus, the house was haunted according to law and the seller ought to have provided all information in relation to haunting (Ackley, 1991). The main holding was provided by three judges: Rubin, Kassal, and Ross. However, two judges: Milonas and Smith provided their dissenting opinions. The dissenting opinion was that the doctrine of Caveat emptor should have been strictly followed. Therefore, the New York Appellate division rescinded the contract of sale without cost to the plaintiff. </w:t>
      </w:r>
    </w:p>
    <w:p w:rsidR="006F4F21" w:rsidRPr="006F4F21" w:rsidRDefault="006F4F21" w:rsidP="006F4F21">
      <w:pPr>
        <w:pStyle w:val="NormalWeb"/>
        <w:spacing w:before="0" w:beforeAutospacing="0" w:after="0" w:afterAutospacing="0" w:line="480" w:lineRule="auto"/>
        <w:jc w:val="center"/>
        <w:rPr>
          <w:color w:val="1C1E29"/>
        </w:rPr>
      </w:pPr>
      <w:r w:rsidRPr="006F4F21">
        <w:rPr>
          <w:rStyle w:val="Strong"/>
          <w:color w:val="1C1E29"/>
        </w:rPr>
        <w:t>Rationale</w:t>
      </w:r>
    </w:p>
    <w:p w:rsidR="006F4F21" w:rsidRPr="006F4F21" w:rsidRDefault="006F4F21" w:rsidP="006F4F21">
      <w:pPr>
        <w:pStyle w:val="NormalWeb"/>
        <w:spacing w:before="0" w:beforeAutospacing="0" w:after="0" w:afterAutospacing="0" w:line="480" w:lineRule="auto"/>
        <w:ind w:firstLine="720"/>
        <w:rPr>
          <w:color w:val="1C1E29"/>
        </w:rPr>
      </w:pPr>
      <w:r w:rsidRPr="006F4F21">
        <w:rPr>
          <w:color w:val="1C1E29"/>
        </w:rPr>
        <w:t>According to the Court, the negotiation process to purchase a property is influenced by its value as well as its prospective resale. In the case at hand, the bargaining process of the house was founded on its value as well as its prospective resale. Based on the argument, the majority judges argued that the reputation of the house affected both the current value of the house as well as the future va</w:t>
      </w:r>
      <w:r w:rsidR="002D0ACB">
        <w:rPr>
          <w:color w:val="1C1E29"/>
        </w:rPr>
        <w:t>lue of the house (</w:t>
      </w:r>
      <w:r w:rsidRPr="006F4F21">
        <w:rPr>
          <w:color w:val="1C1E29"/>
        </w:rPr>
        <w:t xml:space="preserve">Ackley, 1991). For this reason, they believed that the fact that </w:t>
      </w:r>
      <w:r w:rsidRPr="006F4F21">
        <w:rPr>
          <w:color w:val="1C1E29"/>
        </w:rPr>
        <w:lastRenderedPageBreak/>
        <w:t xml:space="preserve">Ackley, the seller, and Ellis, the agent of the seller, failed to comprehensively disclose the reputation of the house, the bargaining process was fraudulent and therefore believed that the contract should be annulled and the plaintiff to be compensated with his down payments. </w:t>
      </w:r>
    </w:p>
    <w:p w:rsidR="006F4F21" w:rsidRPr="006F4F21" w:rsidRDefault="006F4F21" w:rsidP="006F4F21">
      <w:pPr>
        <w:pStyle w:val="NormalWeb"/>
        <w:spacing w:before="0" w:beforeAutospacing="0" w:after="0" w:afterAutospacing="0" w:line="480" w:lineRule="auto"/>
        <w:jc w:val="center"/>
        <w:rPr>
          <w:color w:val="1C1E29"/>
        </w:rPr>
      </w:pPr>
      <w:r w:rsidRPr="006F4F21">
        <w:rPr>
          <w:rStyle w:val="Strong"/>
          <w:color w:val="1C1E29"/>
        </w:rPr>
        <w:t>Interesting Dicta</w:t>
      </w:r>
    </w:p>
    <w:p w:rsidR="006F4F21" w:rsidRPr="006F4F21" w:rsidRDefault="006F4F21" w:rsidP="006F4F21">
      <w:pPr>
        <w:pStyle w:val="NormalWeb"/>
        <w:spacing w:before="0" w:beforeAutospacing="0" w:after="0" w:afterAutospacing="0" w:line="480" w:lineRule="auto"/>
        <w:ind w:firstLine="720"/>
        <w:rPr>
          <w:color w:val="1C1E29"/>
        </w:rPr>
      </w:pPr>
      <w:r w:rsidRPr="006F4F21">
        <w:rPr>
          <w:color w:val="1C1E29"/>
        </w:rPr>
        <w:t>The Jeffrey M. Stambovsky, Plaintiff, V. Helen V. Ackley et al., Defendants case raised interesting Dicta. While the doctrine of Caveat emptor requires the buyer to conduct a due diligence process, a property haunted by poltergeists is a condition that cannot be assessed even with a rational assessment of the property. Conversely, if a vendor discloses any information concerning a property being haunted by poltergeists to the public, the vendor is then required to disclose the same information to the purchaser.</w:t>
      </w:r>
    </w:p>
    <w:p w:rsidR="006F4F21" w:rsidRPr="006F4F21" w:rsidRDefault="006F4F21" w:rsidP="0022479F">
      <w:pPr>
        <w:pStyle w:val="NormalWeb"/>
        <w:spacing w:before="0" w:beforeAutospacing="0" w:after="0" w:afterAutospacing="0" w:line="480" w:lineRule="auto"/>
        <w:jc w:val="center"/>
        <w:rPr>
          <w:color w:val="1C1E29"/>
        </w:rPr>
      </w:pPr>
      <w:r w:rsidRPr="006F4F21">
        <w:rPr>
          <w:rStyle w:val="Strong"/>
          <w:color w:val="1C1E29"/>
        </w:rPr>
        <w:t>Conclusion</w:t>
      </w:r>
    </w:p>
    <w:p w:rsidR="006F4F21" w:rsidRPr="006F4F21" w:rsidRDefault="006F4F21" w:rsidP="0022479F">
      <w:pPr>
        <w:pStyle w:val="NormalWeb"/>
        <w:spacing w:before="0" w:beforeAutospacing="0" w:after="0" w:afterAutospacing="0" w:line="480" w:lineRule="auto"/>
        <w:ind w:firstLine="720"/>
        <w:rPr>
          <w:color w:val="1C1E29"/>
        </w:rPr>
      </w:pPr>
      <w:r w:rsidRPr="006F4F21">
        <w:rPr>
          <w:color w:val="1C1E29"/>
        </w:rPr>
        <w:t xml:space="preserve">In my judgment, although the decision by the New York Appellate division was not provided by constitutional laws, then the plaintiff deserved equity. My rationale is based on the fact that the defendant had disclosed to the public that the property on sale was haunted by poltergeists. I believe that the seller needed to inform the buyer about the poltergeists as well for the negotiation process to be fair between the two parties. The New York Law fails to protect the buyer or at least provide losses incurred by losses if caveat emptor law is applied. Therefore, I support the case holding because it edged on fairness. </w:t>
      </w:r>
    </w:p>
    <w:bookmarkEnd w:id="0"/>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p>
    <w:p w:rsidR="00A90154" w:rsidRPr="006F4F21" w:rsidRDefault="00A90154" w:rsidP="006F4F21">
      <w:pPr>
        <w:spacing w:line="480" w:lineRule="auto"/>
        <w:jc w:val="center"/>
      </w:pPr>
      <w:r w:rsidRPr="006F4F21">
        <w:lastRenderedPageBreak/>
        <w:t>Reference</w:t>
      </w:r>
      <w:r w:rsidR="002D0ACB">
        <w:t>.</w:t>
      </w:r>
    </w:p>
    <w:p w:rsidR="00A90154" w:rsidRDefault="00A90154" w:rsidP="006F4F21">
      <w:pPr>
        <w:pStyle w:val="Bibliography"/>
        <w:spacing w:line="480" w:lineRule="auto"/>
        <w:ind w:left="720" w:hanging="720"/>
        <w:rPr>
          <w:noProof/>
        </w:rPr>
      </w:pPr>
      <w:r w:rsidRPr="006F4F21">
        <w:fldChar w:fldCharType="begin"/>
      </w:r>
      <w:r w:rsidRPr="006F4F21">
        <w:instrText xml:space="preserve"> BIBLIOGRAPHY  \l 1033 </w:instrText>
      </w:r>
      <w:r w:rsidRPr="006F4F21">
        <w:fldChar w:fldCharType="separate"/>
      </w:r>
      <w:r w:rsidR="00862E9E">
        <w:rPr>
          <w:noProof/>
        </w:rPr>
        <w:t>Stambovsky V. Ackley. (</w:t>
      </w:r>
      <w:r w:rsidR="00096F97">
        <w:rPr>
          <w:noProof/>
        </w:rPr>
        <w:t xml:space="preserve">1999). Respondent. </w:t>
      </w:r>
      <w:r w:rsidRPr="006F4F21">
        <w:rPr>
          <w:noProof/>
        </w:rPr>
        <w:t>Supreme Court, Appelate Division, First Department</w:t>
      </w:r>
      <w:r w:rsidR="00096F97">
        <w:rPr>
          <w:noProof/>
        </w:rPr>
        <w:t xml:space="preserve">. New York. </w:t>
      </w:r>
    </w:p>
    <w:p w:rsidR="00A90154" w:rsidRPr="006F4F21" w:rsidRDefault="00A90154" w:rsidP="006F4F21">
      <w:pPr>
        <w:spacing w:line="480" w:lineRule="auto"/>
        <w:ind w:left="720" w:hanging="720"/>
      </w:pPr>
      <w:r w:rsidRPr="006F4F21">
        <w:fldChar w:fldCharType="end"/>
      </w:r>
    </w:p>
    <w:p w:rsidR="00C56FE2" w:rsidRPr="006F4F21" w:rsidRDefault="00C56FE2" w:rsidP="006F4F21">
      <w:pPr>
        <w:spacing w:line="480" w:lineRule="auto"/>
      </w:pPr>
    </w:p>
    <w:p w:rsidR="00C56FE2" w:rsidRPr="006F4F21" w:rsidRDefault="00C56FE2" w:rsidP="006F4F21">
      <w:pPr>
        <w:spacing w:line="480" w:lineRule="auto"/>
      </w:pPr>
    </w:p>
    <w:p w:rsidR="00751995" w:rsidRPr="006F4F21" w:rsidRDefault="00751995" w:rsidP="006F4F21">
      <w:pPr>
        <w:spacing w:line="480" w:lineRule="auto"/>
      </w:pPr>
    </w:p>
    <w:p w:rsidR="0089399B" w:rsidRPr="006F4F21" w:rsidRDefault="0089399B" w:rsidP="006F4F21">
      <w:pPr>
        <w:spacing w:line="480" w:lineRule="auto"/>
      </w:pPr>
    </w:p>
    <w:p w:rsidR="003F17B0" w:rsidRPr="006F4F21" w:rsidRDefault="003F17B0" w:rsidP="006F4F21">
      <w:pPr>
        <w:spacing w:line="480" w:lineRule="auto"/>
      </w:pPr>
    </w:p>
    <w:sectPr w:rsidR="003F17B0" w:rsidRPr="006F4F21" w:rsidSect="003D70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310" w:rsidRDefault="00E70310" w:rsidP="003D709A">
      <w:pPr>
        <w:spacing w:after="0" w:line="240" w:lineRule="auto"/>
      </w:pPr>
      <w:r>
        <w:separator/>
      </w:r>
    </w:p>
  </w:endnote>
  <w:endnote w:type="continuationSeparator" w:id="0">
    <w:p w:rsidR="00E70310" w:rsidRDefault="00E70310" w:rsidP="003D7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310" w:rsidRDefault="00E70310" w:rsidP="003D709A">
      <w:pPr>
        <w:spacing w:after="0" w:line="240" w:lineRule="auto"/>
      </w:pPr>
      <w:r>
        <w:separator/>
      </w:r>
    </w:p>
  </w:footnote>
  <w:footnote w:type="continuationSeparator" w:id="0">
    <w:p w:rsidR="00E70310" w:rsidRDefault="00E70310" w:rsidP="003D70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6D" w:rsidRDefault="0037416D">
    <w:pPr>
      <w:pStyle w:val="Header"/>
      <w:jc w:val="right"/>
    </w:pPr>
    <w:r>
      <w:t xml:space="preserve">STAMBOVSKY V. ACKLEY AND ELLIS REALTY                                                                </w:t>
    </w:r>
    <w:sdt>
      <w:sdtPr>
        <w:id w:val="12385887"/>
        <w:docPartObj>
          <w:docPartGallery w:val="Page Numbers (Top of Page)"/>
          <w:docPartUnique/>
        </w:docPartObj>
      </w:sdtPr>
      <w:sdtEndPr/>
      <w:sdtContent>
        <w:r>
          <w:t xml:space="preserve"> </w:t>
        </w:r>
        <w:r w:rsidR="00E70310">
          <w:fldChar w:fldCharType="begin"/>
        </w:r>
        <w:r w:rsidR="00E70310">
          <w:instrText xml:space="preserve"> PAGE   \* M</w:instrText>
        </w:r>
        <w:r w:rsidR="00E70310">
          <w:instrText xml:space="preserve">ERGEFORMAT </w:instrText>
        </w:r>
        <w:r w:rsidR="00E70310">
          <w:fldChar w:fldCharType="separate"/>
        </w:r>
        <w:r w:rsidR="00492A97">
          <w:rPr>
            <w:noProof/>
          </w:rPr>
          <w:t>4</w:t>
        </w:r>
        <w:r w:rsidR="00E70310">
          <w:rPr>
            <w:noProof/>
          </w:rPr>
          <w:fldChar w:fldCharType="end"/>
        </w:r>
      </w:sdtContent>
    </w:sdt>
  </w:p>
  <w:p w:rsidR="0037416D" w:rsidRDefault="003741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6D" w:rsidRDefault="0037416D">
    <w:pPr>
      <w:pStyle w:val="Header"/>
      <w:jc w:val="right"/>
    </w:pPr>
    <w:r>
      <w:t xml:space="preserve">Running head: STAMBOVSKY V. ACKLEY AND ELLIS REALTY                                        </w:t>
    </w:r>
    <w:sdt>
      <w:sdtPr>
        <w:id w:val="12385782"/>
        <w:docPartObj>
          <w:docPartGallery w:val="Page Numbers (Top of Page)"/>
          <w:docPartUnique/>
        </w:docPartObj>
      </w:sdtPr>
      <w:sdtEndPr/>
      <w:sdtContent>
        <w:r>
          <w:t xml:space="preserve"> </w:t>
        </w:r>
        <w:r w:rsidR="00E70310">
          <w:fldChar w:fldCharType="begin"/>
        </w:r>
        <w:r w:rsidR="00E70310">
          <w:instrText xml:space="preserve"> PAGE   \* MERGEFORMAT </w:instrText>
        </w:r>
        <w:r w:rsidR="00E70310">
          <w:fldChar w:fldCharType="separate"/>
        </w:r>
        <w:r w:rsidR="00BE5D08">
          <w:rPr>
            <w:noProof/>
          </w:rPr>
          <w:t>1</w:t>
        </w:r>
        <w:r w:rsidR="00E70310">
          <w:rPr>
            <w:noProof/>
          </w:rPr>
          <w:fldChar w:fldCharType="end"/>
        </w:r>
      </w:sdtContent>
    </w:sdt>
  </w:p>
  <w:p w:rsidR="0037416D" w:rsidRDefault="0037416D" w:rsidP="003D709A">
    <w:pPr>
      <w:pStyle w:val="Header"/>
      <w:tabs>
        <w:tab w:val="clear" w:pos="4680"/>
        <w:tab w:val="clear" w:pos="9360"/>
        <w:tab w:val="left" w:pos="757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F3A7C"/>
    <w:rsid w:val="000025E3"/>
    <w:rsid w:val="00096F97"/>
    <w:rsid w:val="00191FD5"/>
    <w:rsid w:val="002207C3"/>
    <w:rsid w:val="0022479F"/>
    <w:rsid w:val="002D0ACB"/>
    <w:rsid w:val="002F1453"/>
    <w:rsid w:val="003058C7"/>
    <w:rsid w:val="00331631"/>
    <w:rsid w:val="00334C94"/>
    <w:rsid w:val="0037416D"/>
    <w:rsid w:val="003D709A"/>
    <w:rsid w:val="003F17B0"/>
    <w:rsid w:val="00460148"/>
    <w:rsid w:val="00464CDD"/>
    <w:rsid w:val="00492A97"/>
    <w:rsid w:val="004A41FB"/>
    <w:rsid w:val="004A6315"/>
    <w:rsid w:val="005A0D63"/>
    <w:rsid w:val="005F3A7C"/>
    <w:rsid w:val="006F4F21"/>
    <w:rsid w:val="00751995"/>
    <w:rsid w:val="00763D52"/>
    <w:rsid w:val="007D098C"/>
    <w:rsid w:val="00852CD0"/>
    <w:rsid w:val="00862E9E"/>
    <w:rsid w:val="008933FF"/>
    <w:rsid w:val="0089399B"/>
    <w:rsid w:val="00962794"/>
    <w:rsid w:val="00A10479"/>
    <w:rsid w:val="00A50969"/>
    <w:rsid w:val="00A90154"/>
    <w:rsid w:val="00BE5D08"/>
    <w:rsid w:val="00C56FE2"/>
    <w:rsid w:val="00C71466"/>
    <w:rsid w:val="00DB65A0"/>
    <w:rsid w:val="00DE46A7"/>
    <w:rsid w:val="00DF7775"/>
    <w:rsid w:val="00E11CCA"/>
    <w:rsid w:val="00E703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09A"/>
  </w:style>
  <w:style w:type="paragraph" w:styleId="Footer">
    <w:name w:val="footer"/>
    <w:basedOn w:val="Normal"/>
    <w:link w:val="FooterChar"/>
    <w:uiPriority w:val="99"/>
    <w:unhideWhenUsed/>
    <w:rsid w:val="003D7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09A"/>
  </w:style>
  <w:style w:type="paragraph" w:styleId="BalloonText">
    <w:name w:val="Balloon Text"/>
    <w:basedOn w:val="Normal"/>
    <w:link w:val="BalloonTextChar"/>
    <w:uiPriority w:val="99"/>
    <w:semiHidden/>
    <w:unhideWhenUsed/>
    <w:rsid w:val="00A901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154"/>
    <w:rPr>
      <w:rFonts w:ascii="Tahoma" w:hAnsi="Tahoma" w:cs="Tahoma"/>
      <w:sz w:val="16"/>
      <w:szCs w:val="16"/>
    </w:rPr>
  </w:style>
  <w:style w:type="paragraph" w:styleId="Bibliography">
    <w:name w:val="Bibliography"/>
    <w:basedOn w:val="Normal"/>
    <w:next w:val="Normal"/>
    <w:uiPriority w:val="37"/>
    <w:unhideWhenUsed/>
    <w:rsid w:val="00A90154"/>
  </w:style>
  <w:style w:type="paragraph" w:styleId="NormalWeb">
    <w:name w:val="Normal (Web)"/>
    <w:basedOn w:val="Normal"/>
    <w:uiPriority w:val="99"/>
    <w:semiHidden/>
    <w:unhideWhenUsed/>
    <w:rsid w:val="006F4F21"/>
    <w:pPr>
      <w:spacing w:before="100" w:beforeAutospacing="1" w:after="100" w:afterAutospacing="1" w:line="240" w:lineRule="auto"/>
    </w:pPr>
    <w:rPr>
      <w:rFonts w:eastAsia="Times New Roman"/>
      <w:bCs/>
      <w:color w:val="auto"/>
    </w:rPr>
  </w:style>
  <w:style w:type="character" w:styleId="Strong">
    <w:name w:val="Strong"/>
    <w:basedOn w:val="DefaultParagraphFont"/>
    <w:uiPriority w:val="22"/>
    <w:qFormat/>
    <w:rsid w:val="006F4F2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432939">
      <w:bodyDiv w:val="1"/>
      <w:marLeft w:val="0"/>
      <w:marRight w:val="0"/>
      <w:marTop w:val="0"/>
      <w:marBottom w:val="0"/>
      <w:divBdr>
        <w:top w:val="none" w:sz="0" w:space="0" w:color="auto"/>
        <w:left w:val="none" w:sz="0" w:space="0" w:color="auto"/>
        <w:bottom w:val="none" w:sz="0" w:space="0" w:color="auto"/>
        <w:right w:val="none" w:sz="0" w:space="0" w:color="auto"/>
      </w:divBdr>
      <w:divsChild>
        <w:div w:id="628825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Sta91</b:Tag>
    <b:SourceType>Case</b:SourceType>
    <b:Guid>{AA7C26D2-5427-488F-89E9-27D72086D3B8}</b:Guid>
    <b:Title>Stambovsky V. Ackley</b:Title>
    <b:Year>1991</b:Year>
    <b:Month>July</b:Month>
    <b:Day>18</b:Day>
    <b:CaseNumber>169 A.D.2d 254</b:CaseNumber>
    <b:Court>Supreme Court, Appelate Division, First Department New York</b:Court>
    <b:RefOrder>1</b:RefOrder>
  </b:Source>
</b:Sources>
</file>

<file path=customXml/itemProps1.xml><?xml version="1.0" encoding="utf-8"?>
<ds:datastoreItem xmlns:ds="http://schemas.openxmlformats.org/officeDocument/2006/customXml" ds:itemID="{0F0C8AF6-426D-4B71-9AA0-0C342D837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Windows User</cp:lastModifiedBy>
  <cp:revision>2</cp:revision>
  <dcterms:created xsi:type="dcterms:W3CDTF">2019-08-03T15:41:00Z</dcterms:created>
  <dcterms:modified xsi:type="dcterms:W3CDTF">2019-08-03T15:41:00Z</dcterms:modified>
</cp:coreProperties>
</file>